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C331E" w:rsidRDefault="008C331E" w:rsidP="008C331E">
      <w:pPr>
        <w:spacing w:before="100" w:beforeAutospacing="1" w:after="100" w:afterAutospacing="1" w:line="216" w:lineRule="atLeast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Статья </w:t>
      </w:r>
    </w:p>
    <w:p w:rsidR="008C331E" w:rsidRPr="000A004F" w:rsidRDefault="008C331E" w:rsidP="008C331E">
      <w:pPr>
        <w:spacing w:before="100" w:beforeAutospacing="1" w:after="100" w:afterAutospacing="1" w:line="216" w:lineRule="atLeast"/>
        <w:jc w:val="center"/>
        <w:rPr>
          <w:rFonts w:ascii="Times New Roman" w:hAnsi="Times New Roman"/>
          <w:b/>
          <w:bCs/>
          <w:i/>
          <w:iCs/>
          <w:sz w:val="40"/>
          <w:szCs w:val="40"/>
          <w:shd w:val="clear" w:color="auto" w:fill="FFFFFF"/>
        </w:rPr>
      </w:pPr>
      <w:r w:rsidRPr="000A004F">
        <w:rPr>
          <w:rFonts w:ascii="Times New Roman" w:hAnsi="Times New Roman"/>
          <w:b/>
          <w:bCs/>
          <w:i/>
          <w:iCs/>
          <w:sz w:val="40"/>
          <w:szCs w:val="40"/>
        </w:rPr>
        <w:t xml:space="preserve"> «</w:t>
      </w:r>
      <w:r w:rsidRPr="008C331E">
        <w:rPr>
          <w:rFonts w:ascii="Times New Roman" w:hAnsi="Times New Roman"/>
          <w:b/>
          <w:bCs/>
          <w:i/>
          <w:iCs/>
          <w:sz w:val="40"/>
          <w:szCs w:val="40"/>
        </w:rPr>
        <w:t>Формирование метапредметных компетенций на уроках математики</w:t>
      </w:r>
      <w:r w:rsidRPr="000A004F">
        <w:rPr>
          <w:rFonts w:ascii="Times New Roman" w:hAnsi="Times New Roman"/>
          <w:b/>
          <w:bCs/>
          <w:i/>
          <w:iCs/>
          <w:sz w:val="40"/>
          <w:szCs w:val="40"/>
        </w:rPr>
        <w:t>»</w:t>
      </w:r>
    </w:p>
    <w:p w:rsidR="008C331E" w:rsidRPr="000A004F" w:rsidRDefault="008C331E" w:rsidP="008C331E">
      <w:pPr>
        <w:spacing w:before="100" w:beforeAutospacing="1" w:after="100" w:afterAutospacing="1" w:line="216" w:lineRule="atLeast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8C331E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DF29B0">
        <w:rPr>
          <w:rFonts w:ascii="Times New Roman" w:hAnsi="Times New Roman"/>
          <w:bCs/>
          <w:iCs/>
          <w:sz w:val="28"/>
          <w:szCs w:val="28"/>
        </w:rPr>
        <w:t>Учитель математики</w:t>
      </w:r>
      <w:r w:rsidRPr="00DF29B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   </w:t>
      </w:r>
    </w:p>
    <w:p w:rsidR="008C331E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F3CD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F3C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0F3C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СОШ с УИОП №38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г. Саранск</w:t>
      </w: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0F3CD3">
        <w:rPr>
          <w:rFonts w:ascii="Times New Roman" w:hAnsi="Times New Roman"/>
          <w:bCs/>
          <w:iCs/>
          <w:sz w:val="28"/>
          <w:szCs w:val="28"/>
        </w:rPr>
        <w:t>Комаров</w:t>
      </w:r>
      <w:r w:rsidRPr="00DF29B0">
        <w:rPr>
          <w:rFonts w:ascii="Times New Roman" w:hAnsi="Times New Roman"/>
          <w:bCs/>
          <w:iCs/>
          <w:sz w:val="28"/>
          <w:szCs w:val="28"/>
        </w:rPr>
        <w:t xml:space="preserve"> М.С.</w:t>
      </w: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8C331E" w:rsidRPr="00DF29B0" w:rsidRDefault="008C331E" w:rsidP="008C331E">
      <w:pPr>
        <w:spacing w:before="100" w:beforeAutospacing="1" w:after="100" w:afterAutospacing="1" w:line="216" w:lineRule="atLeast"/>
        <w:contextualSpacing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2017</w:t>
      </w:r>
      <w:r w:rsidRPr="00DF29B0"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6C5C17" w:rsidRDefault="006C5C17"/>
    <w:p w:rsidR="00394EBD" w:rsidRDefault="00394EBD" w:rsidP="00394EBD">
      <w:pPr>
        <w:spacing w:after="0" w:line="276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МЕТАПРЕДМЕТНЫХ КОМПЕТЕНЦИЙ НА </w:t>
      </w:r>
      <w:r w:rsidRPr="00FC2E3C">
        <w:rPr>
          <w:rFonts w:ascii="Times New Roman" w:hAnsi="Times New Roman"/>
          <w:sz w:val="28"/>
          <w:szCs w:val="28"/>
        </w:rPr>
        <w:t>УРОКАХ МАТЕМАТИКИ</w:t>
      </w:r>
    </w:p>
    <w:p w:rsidR="00394EBD" w:rsidRDefault="00394EBD" w:rsidP="00394EBD">
      <w:pPr>
        <w:spacing w:after="0" w:line="276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394EBD" w:rsidRDefault="00394EBD" w:rsidP="00394EBD">
      <w:pPr>
        <w:spacing w:after="0"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F0560">
        <w:rPr>
          <w:rFonts w:ascii="Times New Roman" w:hAnsi="Times New Roman"/>
          <w:sz w:val="28"/>
          <w:szCs w:val="28"/>
        </w:rPr>
        <w:t xml:space="preserve">Новые ФГОС (федеральные государственные образовательные стандарты) существенно отличаются от </w:t>
      </w:r>
      <w:proofErr w:type="gramStart"/>
      <w:r w:rsidRPr="00DF0560">
        <w:rPr>
          <w:rFonts w:ascii="Times New Roman" w:hAnsi="Times New Roman"/>
          <w:sz w:val="28"/>
          <w:szCs w:val="28"/>
        </w:rPr>
        <w:t>предыдущих</w:t>
      </w:r>
      <w:proofErr w:type="gramEnd"/>
      <w:r w:rsidRPr="00DF0560">
        <w:rPr>
          <w:rFonts w:ascii="Times New Roman" w:hAnsi="Times New Roman"/>
          <w:sz w:val="28"/>
          <w:szCs w:val="28"/>
        </w:rPr>
        <w:t>. Новые требования, которые предъявляются к результатам освоения программы учащимися, предполагают изменение содержания образования, опираясь на принципы метапредметности.</w:t>
      </w:r>
      <w:r>
        <w:rPr>
          <w:rFonts w:ascii="Times New Roman" w:hAnsi="Times New Roman"/>
          <w:sz w:val="28"/>
          <w:szCs w:val="28"/>
        </w:rPr>
        <w:t xml:space="preserve"> Однако сегодня можно</w:t>
      </w:r>
      <w:r w:rsidRPr="00DF0560">
        <w:rPr>
          <w:rFonts w:ascii="Times New Roman" w:hAnsi="Times New Roman"/>
          <w:sz w:val="28"/>
          <w:szCs w:val="28"/>
        </w:rPr>
        <w:t xml:space="preserve"> констатировать наличие проблемы </w:t>
      </w:r>
      <w:r>
        <w:rPr>
          <w:rFonts w:ascii="Times New Roman" w:hAnsi="Times New Roman"/>
          <w:sz w:val="28"/>
          <w:szCs w:val="28"/>
        </w:rPr>
        <w:t>методического обеспечения</w:t>
      </w:r>
      <w:r w:rsidRPr="00DF0560"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hAnsi="Times New Roman"/>
          <w:sz w:val="28"/>
          <w:szCs w:val="28"/>
        </w:rPr>
        <w:t xml:space="preserve"> метапредметности </w:t>
      </w:r>
      <w:r w:rsidRPr="00DF0560">
        <w:rPr>
          <w:rFonts w:ascii="Times New Roman" w:hAnsi="Times New Roman"/>
          <w:sz w:val="28"/>
          <w:szCs w:val="28"/>
        </w:rPr>
        <w:t>у школьников.</w:t>
      </w:r>
      <w:r w:rsidRPr="00276FAA">
        <w:t xml:space="preserve"> </w:t>
      </w:r>
      <w:r w:rsidRPr="00FC2E3C">
        <w:rPr>
          <w:rFonts w:ascii="Times New Roman" w:hAnsi="Times New Roman"/>
          <w:sz w:val="28"/>
          <w:szCs w:val="28"/>
        </w:rPr>
        <w:t>Что же такое метапредметнось</w:t>
      </w:r>
      <w:r>
        <w:rPr>
          <w:rFonts w:ascii="Times New Roman" w:hAnsi="Times New Roman"/>
          <w:sz w:val="28"/>
          <w:szCs w:val="28"/>
        </w:rPr>
        <w:t>?</w:t>
      </w:r>
      <w:r w:rsidRPr="00276FAA">
        <w:rPr>
          <w:rFonts w:ascii="Times New Roman" w:hAnsi="Times New Roman"/>
          <w:sz w:val="28"/>
          <w:szCs w:val="28"/>
        </w:rPr>
        <w:t xml:space="preserve"> И, самое главное</w:t>
      </w:r>
      <w:r>
        <w:rPr>
          <w:rFonts w:ascii="Times New Roman" w:hAnsi="Times New Roman"/>
          <w:sz w:val="28"/>
          <w:szCs w:val="28"/>
        </w:rPr>
        <w:t xml:space="preserve">, как разработать алгоритм формирования метапредметных компетенций на </w:t>
      </w:r>
      <w:r w:rsidRPr="00FC2E3C">
        <w:rPr>
          <w:rFonts w:ascii="Times New Roman" w:hAnsi="Times New Roman"/>
          <w:sz w:val="28"/>
          <w:szCs w:val="28"/>
        </w:rPr>
        <w:t>уроках математики</w:t>
      </w:r>
      <w:r>
        <w:rPr>
          <w:rFonts w:ascii="Times New Roman" w:hAnsi="Times New Roman"/>
          <w:sz w:val="28"/>
          <w:szCs w:val="28"/>
        </w:rPr>
        <w:t>? Сегодня системное применение педагогических технологий, направленных на формирование этих компетенций становится наиболее актуальным.</w:t>
      </w:r>
      <w:r w:rsidRPr="002A5463">
        <w:rPr>
          <w:rFonts w:ascii="Times New Roman" w:hAnsi="Times New Roman"/>
          <w:sz w:val="28"/>
          <w:szCs w:val="28"/>
        </w:rPr>
        <w:t xml:space="preserve"> </w:t>
      </w:r>
    </w:p>
    <w:p w:rsidR="00394EBD" w:rsidRDefault="00394EBD" w:rsidP="00394EBD">
      <w:pPr>
        <w:spacing w:after="0"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ФГОС п</w:t>
      </w:r>
      <w:r w:rsidRPr="00E035C8">
        <w:rPr>
          <w:rFonts w:ascii="Times New Roman" w:hAnsi="Times New Roman"/>
          <w:sz w:val="28"/>
          <w:szCs w:val="28"/>
        </w:rPr>
        <w:t>од мет</w:t>
      </w:r>
      <w:r>
        <w:rPr>
          <w:rFonts w:ascii="Times New Roman" w:hAnsi="Times New Roman"/>
          <w:sz w:val="28"/>
          <w:szCs w:val="28"/>
        </w:rPr>
        <w:t>апредметными компетенциями понимают</w:t>
      </w:r>
      <w:r w:rsidRPr="00E035C8">
        <w:rPr>
          <w:rFonts w:ascii="Times New Roman" w:hAnsi="Times New Roman"/>
          <w:sz w:val="28"/>
          <w:szCs w:val="28"/>
        </w:rPr>
        <w:t xml:space="preserve"> измеряемые способы действий, умения и навыки, обеспечивающие самостоятельную, субъектную позицию учащегося в ходе его образования в течение всей жизни и способствующие его самореализации в о</w:t>
      </w:r>
      <w:r>
        <w:rPr>
          <w:rFonts w:ascii="Times New Roman" w:hAnsi="Times New Roman"/>
          <w:sz w:val="28"/>
          <w:szCs w:val="28"/>
        </w:rPr>
        <w:t xml:space="preserve">пределенной сфере деятельности. </w:t>
      </w:r>
    </w:p>
    <w:p w:rsidR="00394EBD" w:rsidRPr="00E035C8" w:rsidRDefault="00394EBD" w:rsidP="00394EBD">
      <w:pPr>
        <w:spacing w:after="0"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метапредметных компетенций:</w:t>
      </w:r>
    </w:p>
    <w:p w:rsidR="00394EBD" w:rsidRPr="002F0B83" w:rsidRDefault="00394EBD" w:rsidP="00394EBD">
      <w:pPr>
        <w:spacing w:after="0" w:line="276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2F0B83">
        <w:rPr>
          <w:rFonts w:ascii="Times New Roman" w:hAnsi="Times New Roman"/>
          <w:sz w:val="28"/>
          <w:szCs w:val="28"/>
        </w:rPr>
        <w:t>ценностно-смысловые компетенции;</w:t>
      </w:r>
    </w:p>
    <w:p w:rsidR="00394EBD" w:rsidRPr="002F0B83" w:rsidRDefault="00394EBD" w:rsidP="00394EBD">
      <w:pPr>
        <w:spacing w:after="0" w:line="276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2F0B83">
        <w:rPr>
          <w:rFonts w:ascii="Times New Roman" w:hAnsi="Times New Roman"/>
          <w:sz w:val="28"/>
          <w:szCs w:val="28"/>
        </w:rPr>
        <w:t>общекультурные компетенции;</w:t>
      </w:r>
    </w:p>
    <w:p w:rsidR="00394EBD" w:rsidRPr="004F2DB8" w:rsidRDefault="00394EBD" w:rsidP="00394EBD">
      <w:pPr>
        <w:spacing w:after="0" w:line="276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4F2DB8">
        <w:rPr>
          <w:rFonts w:ascii="Times New Roman" w:hAnsi="Times New Roman"/>
          <w:sz w:val="28"/>
          <w:szCs w:val="28"/>
        </w:rPr>
        <w:t>учебно-познавательные компетенции;</w:t>
      </w:r>
    </w:p>
    <w:p w:rsidR="00394EBD" w:rsidRPr="004F2DB8" w:rsidRDefault="00394EBD" w:rsidP="00394EBD">
      <w:pPr>
        <w:spacing w:after="0" w:line="276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4F2DB8">
        <w:rPr>
          <w:rFonts w:ascii="Times New Roman" w:hAnsi="Times New Roman"/>
          <w:sz w:val="28"/>
          <w:szCs w:val="28"/>
        </w:rPr>
        <w:t>информационные компетенции;</w:t>
      </w:r>
    </w:p>
    <w:p w:rsidR="00394EBD" w:rsidRPr="002F0B83" w:rsidRDefault="00394EBD" w:rsidP="00394EBD">
      <w:pPr>
        <w:spacing w:after="0" w:line="276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2F0B83">
        <w:rPr>
          <w:rFonts w:ascii="Times New Roman" w:hAnsi="Times New Roman"/>
          <w:sz w:val="28"/>
          <w:szCs w:val="28"/>
        </w:rPr>
        <w:t>коммуникативные компетенции;</w:t>
      </w:r>
    </w:p>
    <w:p w:rsidR="00394EBD" w:rsidRPr="004F2DB8" w:rsidRDefault="00394EBD" w:rsidP="00394EBD">
      <w:pPr>
        <w:spacing w:after="0" w:line="276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4F2DB8">
        <w:rPr>
          <w:rFonts w:ascii="Times New Roman" w:hAnsi="Times New Roman"/>
          <w:sz w:val="28"/>
          <w:szCs w:val="28"/>
        </w:rPr>
        <w:t>социально-трудовые компетенции;</w:t>
      </w:r>
    </w:p>
    <w:p w:rsidR="00394EBD" w:rsidRPr="004F2DB8" w:rsidRDefault="00394EBD" w:rsidP="00394EBD">
      <w:pPr>
        <w:spacing w:after="0" w:line="276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4F2DB8">
        <w:rPr>
          <w:rFonts w:ascii="Times New Roman" w:hAnsi="Times New Roman"/>
          <w:sz w:val="28"/>
          <w:szCs w:val="28"/>
        </w:rPr>
        <w:t>компетенции личностного самосовершенствования.</w:t>
      </w:r>
    </w:p>
    <w:p w:rsidR="00394EBD" w:rsidRPr="00394EBD" w:rsidRDefault="00394EBD" w:rsidP="00394EBD">
      <w:pPr>
        <w:spacing w:after="0" w:line="276" w:lineRule="auto"/>
        <w:ind w:firstLine="425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394EBD">
        <w:rPr>
          <w:rFonts w:ascii="Times New Roman" w:hAnsi="Times New Roman"/>
          <w:sz w:val="28"/>
          <w:szCs w:val="28"/>
        </w:rPr>
        <w:t>Принципиальным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EBD">
        <w:rPr>
          <w:rStyle w:val="a3"/>
          <w:rFonts w:ascii="Times New Roman" w:hAnsi="Times New Roman"/>
          <w:i w:val="0"/>
          <w:sz w:val="28"/>
          <w:szCs w:val="28"/>
        </w:rPr>
        <w:t>отличием компетентностей является то, что они формируются и проявляются в деятельности. Мировая практика связывает сегодня образовательные результаты с компетентностью выпускника. Модель выпускника – это образ желаемого результата образования. Кроме того, компетентность неразрывно связана с опытом успешной деятельности, который в ходе обучения ученик должен приобрести в полном объеме.</w:t>
      </w:r>
    </w:p>
    <w:p w:rsidR="00394EBD" w:rsidRPr="0080103F" w:rsidRDefault="00394EBD" w:rsidP="00394EBD">
      <w:pPr>
        <w:spacing w:after="0"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Рассмотрим, как формируются метапредметные компетенции на примерах конкретных</w:t>
      </w:r>
      <w:r w:rsidRPr="00801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Pr="0080103F">
        <w:rPr>
          <w:rFonts w:ascii="Times New Roman" w:hAnsi="Times New Roman"/>
          <w:sz w:val="28"/>
          <w:szCs w:val="28"/>
        </w:rPr>
        <w:t xml:space="preserve"> ОГЭ по математике из раздела «Реальная математика». В заданиях О</w:t>
      </w:r>
      <w:r>
        <w:rPr>
          <w:rFonts w:ascii="Times New Roman" w:hAnsi="Times New Roman"/>
          <w:sz w:val="28"/>
          <w:szCs w:val="28"/>
        </w:rPr>
        <w:t xml:space="preserve">ГЭ (14, </w:t>
      </w:r>
      <w:r w:rsidRPr="0080103F">
        <w:rPr>
          <w:rFonts w:ascii="Times New Roman" w:hAnsi="Times New Roman"/>
          <w:sz w:val="28"/>
          <w:szCs w:val="28"/>
        </w:rPr>
        <w:t>15, 17,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03F">
        <w:rPr>
          <w:rFonts w:ascii="Times New Roman" w:hAnsi="Times New Roman"/>
          <w:sz w:val="28"/>
          <w:szCs w:val="28"/>
        </w:rPr>
        <w:t xml:space="preserve">18) информация представлена в виде графиков, таблиц, диаграмм, геометрического чертежа. Каждый вид учебной информации сопровождается постановкой вопроса. И для того, чтобы успешно выполнить задание, учащиеся должны уметь «читать» этот </w:t>
      </w:r>
      <w:r w:rsidRPr="0080103F">
        <w:rPr>
          <w:rFonts w:ascii="Times New Roman" w:hAnsi="Times New Roman"/>
          <w:sz w:val="28"/>
          <w:szCs w:val="28"/>
        </w:rPr>
        <w:lastRenderedPageBreak/>
        <w:t>вопрос и понимать, что от них требуется: вычислить, прочитать график функции, найти неизвест</w:t>
      </w:r>
      <w:r>
        <w:rPr>
          <w:rFonts w:ascii="Times New Roman" w:hAnsi="Times New Roman"/>
          <w:sz w:val="28"/>
          <w:szCs w:val="28"/>
        </w:rPr>
        <w:t xml:space="preserve">ные величины по чертежу и т.д. </w:t>
      </w:r>
      <w:r w:rsidRPr="0080103F">
        <w:rPr>
          <w:rFonts w:ascii="Times New Roman" w:hAnsi="Times New Roman"/>
          <w:sz w:val="28"/>
          <w:szCs w:val="28"/>
        </w:rPr>
        <w:t xml:space="preserve">Это важный этап формирования </w:t>
      </w:r>
      <w:r w:rsidRPr="00576E29">
        <w:rPr>
          <w:rFonts w:ascii="Times New Roman" w:hAnsi="Times New Roman"/>
          <w:sz w:val="28"/>
          <w:szCs w:val="28"/>
        </w:rPr>
        <w:t>учебно-познавательных компетенций</w:t>
      </w:r>
      <w:r w:rsidRPr="0080103F">
        <w:rPr>
          <w:rFonts w:ascii="Times New Roman" w:hAnsi="Times New Roman"/>
          <w:sz w:val="28"/>
          <w:szCs w:val="28"/>
        </w:rPr>
        <w:t>, т.к. от умения правильно прочитать и ос</w:t>
      </w:r>
      <w:r>
        <w:rPr>
          <w:rFonts w:ascii="Times New Roman" w:hAnsi="Times New Roman"/>
          <w:sz w:val="28"/>
          <w:szCs w:val="28"/>
        </w:rPr>
        <w:t>мыслить вопрос задачи зависит верное решение.</w:t>
      </w:r>
      <w:r w:rsidRPr="0080103F">
        <w:rPr>
          <w:rFonts w:ascii="Times New Roman" w:hAnsi="Times New Roman"/>
          <w:sz w:val="28"/>
          <w:szCs w:val="28"/>
        </w:rPr>
        <w:t xml:space="preserve"> А умение самостоятельно  планировать альтернативные пути достижения целей, осознанно выбирать наиболее эффективные способы решения учебных и познавательных задач можно достичь</w:t>
      </w:r>
      <w:r>
        <w:rPr>
          <w:rFonts w:ascii="Times New Roman" w:hAnsi="Times New Roman"/>
          <w:sz w:val="28"/>
          <w:szCs w:val="28"/>
        </w:rPr>
        <w:t>,</w:t>
      </w:r>
      <w:r w:rsidRPr="0080103F">
        <w:rPr>
          <w:rFonts w:ascii="Times New Roman" w:hAnsi="Times New Roman"/>
          <w:sz w:val="28"/>
          <w:szCs w:val="28"/>
        </w:rPr>
        <w:t xml:space="preserve"> применяя технологию сотрудничества.</w:t>
      </w:r>
    </w:p>
    <w:p w:rsidR="00394EBD" w:rsidRPr="0080103F" w:rsidRDefault="00394EBD" w:rsidP="00394EBD">
      <w:pPr>
        <w:spacing w:after="0" w:line="276" w:lineRule="auto"/>
        <w:ind w:firstLine="425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6E29">
        <w:rPr>
          <w:rFonts w:ascii="Times New Roman" w:hAnsi="Times New Roman"/>
          <w:sz w:val="28"/>
          <w:szCs w:val="28"/>
        </w:rPr>
        <w:t>Логические компетенции</w:t>
      </w:r>
      <w:r w:rsidRPr="0080103F">
        <w:rPr>
          <w:rFonts w:ascii="Times New Roman" w:hAnsi="Times New Roman"/>
          <w:sz w:val="28"/>
          <w:szCs w:val="28"/>
        </w:rPr>
        <w:t xml:space="preserve"> учащихся формируются при решении заданий типа 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03F">
        <w:rPr>
          <w:rFonts w:ascii="Times New Roman" w:hAnsi="Times New Roman"/>
          <w:sz w:val="28"/>
          <w:szCs w:val="28"/>
        </w:rPr>
        <w:t>21. При решении уравнений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03F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выб</w:t>
      </w:r>
      <w:r w:rsidRPr="0080103F">
        <w:rPr>
          <w:rFonts w:ascii="Times New Roman" w:hAnsi="Times New Roman"/>
          <w:sz w:val="28"/>
          <w:szCs w:val="28"/>
        </w:rPr>
        <w:t>рать оптимальный метод решения: разложение на множители, введение новой переменной, замена равносильным уравнением и т.д.</w:t>
      </w:r>
      <w:r w:rsidRPr="0080103F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76E29">
        <w:rPr>
          <w:rFonts w:ascii="Times New Roman" w:hAnsi="Times New Roman"/>
          <w:sz w:val="28"/>
          <w:szCs w:val="28"/>
        </w:rPr>
        <w:t>Здесь, безусловно, приходит на помощь технология критического мышления,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обеспечивающая</w:t>
      </w:r>
      <w:r w:rsidRPr="00801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более глубокое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усвоение содержания, повышающая</w:t>
      </w:r>
      <w:r w:rsidRPr="00801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интерес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учеников к предмету, развивающая</w:t>
      </w:r>
      <w:r w:rsidRPr="00801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социальные и индивидуальные навыки.</w:t>
      </w:r>
    </w:p>
    <w:p w:rsidR="00394EBD" w:rsidRPr="0080103F" w:rsidRDefault="00394EBD" w:rsidP="00394EBD">
      <w:pPr>
        <w:spacing w:after="0" w:line="276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576E29">
        <w:rPr>
          <w:rFonts w:ascii="Times New Roman" w:hAnsi="Times New Roman"/>
          <w:sz w:val="28"/>
          <w:szCs w:val="28"/>
        </w:rPr>
        <w:t>Компетенции личного самосовершенствования</w:t>
      </w:r>
      <w:r w:rsidRPr="0080103F">
        <w:rPr>
          <w:rFonts w:ascii="Times New Roman" w:hAnsi="Times New Roman"/>
          <w:sz w:val="28"/>
          <w:szCs w:val="28"/>
        </w:rPr>
        <w:t xml:space="preserve"> формируются при решении задач типа </w:t>
      </w:r>
      <w:r w:rsidRPr="00576E29">
        <w:rPr>
          <w:rFonts w:ascii="Times New Roman" w:hAnsi="Times New Roman"/>
          <w:sz w:val="28"/>
          <w:szCs w:val="28"/>
        </w:rPr>
        <w:t>22</w:t>
      </w:r>
      <w:r w:rsidRPr="0080103F">
        <w:rPr>
          <w:rFonts w:ascii="Times New Roman" w:hAnsi="Times New Roman"/>
          <w:sz w:val="28"/>
          <w:szCs w:val="28"/>
        </w:rPr>
        <w:t>. Этап поиска решения задачи завершается составлением уравнения или системы уравнений, т.е. сост</w:t>
      </w:r>
      <w:r>
        <w:rPr>
          <w:rFonts w:ascii="Times New Roman" w:hAnsi="Times New Roman"/>
          <w:sz w:val="28"/>
          <w:szCs w:val="28"/>
        </w:rPr>
        <w:t>авлением математической модели.</w:t>
      </w:r>
      <w:r w:rsidRPr="0080103F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sz w:val="28"/>
          <w:szCs w:val="28"/>
        </w:rPr>
        <w:t>,</w:t>
      </w:r>
      <w:r w:rsidRPr="0080103F">
        <w:rPr>
          <w:rFonts w:ascii="Times New Roman" w:hAnsi="Times New Roman"/>
          <w:sz w:val="28"/>
          <w:szCs w:val="28"/>
        </w:rPr>
        <w:t xml:space="preserve"> направленная на формирование</w:t>
      </w:r>
      <w:r w:rsidRPr="008010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0103F">
        <w:rPr>
          <w:rFonts w:ascii="Times New Roman" w:hAnsi="Times New Roman"/>
          <w:sz w:val="28"/>
          <w:szCs w:val="28"/>
        </w:rPr>
        <w:t>компетенции личного самосовершенствования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103F">
        <w:rPr>
          <w:rFonts w:ascii="Times New Roman" w:hAnsi="Times New Roman"/>
          <w:sz w:val="28"/>
          <w:szCs w:val="28"/>
        </w:rPr>
        <w:t xml:space="preserve">это </w:t>
      </w:r>
      <w:r w:rsidRPr="00576E29">
        <w:rPr>
          <w:rFonts w:ascii="Times New Roman" w:hAnsi="Times New Roman"/>
          <w:sz w:val="28"/>
          <w:szCs w:val="28"/>
        </w:rPr>
        <w:t>технология логико-смыслового моделирования</w:t>
      </w:r>
      <w:r w:rsidRPr="0080103F">
        <w:rPr>
          <w:rFonts w:ascii="Times New Roman" w:hAnsi="Times New Roman"/>
          <w:sz w:val="28"/>
          <w:szCs w:val="28"/>
        </w:rPr>
        <w:t xml:space="preserve">, объединяющая вербальную и визуальную подачу материала. </w:t>
      </w:r>
    </w:p>
    <w:p w:rsidR="00394EBD" w:rsidRPr="0080103F" w:rsidRDefault="00394EBD" w:rsidP="00394EBD">
      <w:pPr>
        <w:spacing w:after="0" w:line="276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0103F">
        <w:rPr>
          <w:rFonts w:ascii="Times New Roman" w:hAnsi="Times New Roman"/>
          <w:sz w:val="28"/>
          <w:szCs w:val="28"/>
        </w:rPr>
        <w:t>Выявление типа учебной задачи влечет за собой формирование еще одной компет</w:t>
      </w:r>
      <w:r w:rsidRPr="00585AE1">
        <w:rPr>
          <w:rFonts w:ascii="Times New Roman" w:hAnsi="Times New Roman"/>
          <w:sz w:val="28"/>
          <w:szCs w:val="28"/>
        </w:rPr>
        <w:t>е</w:t>
      </w:r>
      <w:r w:rsidRPr="0080103F">
        <w:rPr>
          <w:rFonts w:ascii="Times New Roman" w:hAnsi="Times New Roman"/>
          <w:sz w:val="28"/>
          <w:szCs w:val="28"/>
        </w:rPr>
        <w:t xml:space="preserve">нции </w:t>
      </w:r>
      <w:r>
        <w:rPr>
          <w:rFonts w:ascii="Times New Roman" w:hAnsi="Times New Roman"/>
          <w:sz w:val="28"/>
          <w:szCs w:val="28"/>
        </w:rPr>
        <w:t>–</w:t>
      </w:r>
      <w:r w:rsidRPr="0080103F">
        <w:rPr>
          <w:rFonts w:ascii="Times New Roman" w:hAnsi="Times New Roman"/>
          <w:sz w:val="28"/>
          <w:szCs w:val="28"/>
        </w:rPr>
        <w:t xml:space="preserve"> </w:t>
      </w:r>
      <w:r w:rsidRPr="00576E29">
        <w:rPr>
          <w:rFonts w:ascii="Times New Roman" w:hAnsi="Times New Roman"/>
          <w:sz w:val="28"/>
          <w:szCs w:val="28"/>
        </w:rPr>
        <w:t>ценностно-смысловой</w:t>
      </w:r>
      <w:r>
        <w:rPr>
          <w:rFonts w:ascii="Times New Roman" w:hAnsi="Times New Roman"/>
          <w:sz w:val="28"/>
          <w:szCs w:val="28"/>
        </w:rPr>
        <w:t xml:space="preserve">. Здесь нужно сказать </w:t>
      </w:r>
      <w:r w:rsidRPr="0080103F">
        <w:rPr>
          <w:rFonts w:ascii="Times New Roman" w:hAnsi="Times New Roman"/>
          <w:sz w:val="28"/>
          <w:szCs w:val="28"/>
        </w:rPr>
        <w:t>о формировании умения устанавливать аналогии с тем, что ученик уже знает и умеет. Данный этап деятельности способствует развитию одной из задач обучения – научить учащихся применять имеющиеся знания в новой для них ситуации, с чем они нередко сталкиваются на ОГЭ. Примером могут служить задания типа 12. Такие задания подразумевают умен</w:t>
      </w:r>
      <w:r>
        <w:rPr>
          <w:rFonts w:ascii="Times New Roman" w:hAnsi="Times New Roman"/>
          <w:sz w:val="28"/>
          <w:szCs w:val="28"/>
        </w:rPr>
        <w:t>ие находить площадь закрашенной</w:t>
      </w:r>
      <w:r w:rsidRPr="0080103F">
        <w:rPr>
          <w:rFonts w:ascii="Times New Roman" w:hAnsi="Times New Roman"/>
          <w:sz w:val="28"/>
          <w:szCs w:val="28"/>
        </w:rPr>
        <w:t xml:space="preserve"> фигуры. Для вычисления площади фигуры можно, конечно, воспользоваться одной из соответствующих формул. А можно провести аналогию такого задания с тем, как учащиеся находили площади сложных фигур на этапе знакомства с понятием площади. Поэтому можно воспользоваться формулами для вычисления площади прямоугольника, треугольника или методом разрезания фигуры на части или отсекания лишнего.</w:t>
      </w:r>
    </w:p>
    <w:p w:rsidR="00394EBD" w:rsidRPr="00585AE1" w:rsidRDefault="00394EBD" w:rsidP="00394EBD">
      <w:pPr>
        <w:spacing w:after="0" w:line="276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585AE1">
        <w:rPr>
          <w:rFonts w:ascii="Times New Roman" w:hAnsi="Times New Roman"/>
          <w:sz w:val="28"/>
          <w:szCs w:val="28"/>
        </w:rPr>
        <w:t xml:space="preserve">Именно такой подход в подготовке моих учеников к ОГЭ позволил сформировать у обучающихся системные знания по предмету и создать </w:t>
      </w:r>
      <w:r w:rsidRPr="00585AE1">
        <w:rPr>
          <w:rFonts w:ascii="Times New Roman" w:hAnsi="Times New Roman"/>
          <w:sz w:val="28"/>
          <w:szCs w:val="28"/>
        </w:rPr>
        <w:lastRenderedPageBreak/>
        <w:t>условия для достижения высоких результатов. Из 78 выпускников 9-х классов 63 получили оценки «хорошо» и «отлично».</w:t>
      </w:r>
    </w:p>
    <w:p w:rsidR="00394EBD" w:rsidRDefault="00394EBD" w:rsidP="00394EBD">
      <w:pPr>
        <w:spacing w:after="0" w:line="276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0103F">
        <w:rPr>
          <w:rFonts w:ascii="Times New Roman" w:hAnsi="Times New Roman"/>
          <w:sz w:val="28"/>
          <w:szCs w:val="28"/>
        </w:rPr>
        <w:t>Очевидно, что формировать компетенции можно не только с помощью учебных задач</w:t>
      </w:r>
      <w:r>
        <w:rPr>
          <w:rFonts w:ascii="Times New Roman" w:hAnsi="Times New Roman"/>
          <w:sz w:val="28"/>
          <w:szCs w:val="28"/>
        </w:rPr>
        <w:t>, типичных для</w:t>
      </w:r>
      <w:r w:rsidRPr="0080103F">
        <w:rPr>
          <w:rFonts w:ascii="Times New Roman" w:hAnsi="Times New Roman"/>
          <w:sz w:val="28"/>
          <w:szCs w:val="28"/>
        </w:rPr>
        <w:t xml:space="preserve"> ОГЭ</w:t>
      </w:r>
      <w:r>
        <w:rPr>
          <w:rFonts w:ascii="Times New Roman" w:hAnsi="Times New Roman"/>
          <w:sz w:val="28"/>
          <w:szCs w:val="28"/>
        </w:rPr>
        <w:t xml:space="preserve">, но и на любых этапах урока математики. </w:t>
      </w:r>
    </w:p>
    <w:p w:rsidR="00394EBD" w:rsidRDefault="00394EBD" w:rsidP="00394EB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EBD" w:rsidRPr="0080103F" w:rsidRDefault="00394EBD" w:rsidP="00394EB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103F">
        <w:rPr>
          <w:rFonts w:ascii="Times New Roman" w:hAnsi="Times New Roman"/>
          <w:b/>
          <w:bCs/>
          <w:sz w:val="28"/>
          <w:szCs w:val="28"/>
        </w:rPr>
        <w:t>Примеры формирования  компетенций на разных этапах урока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9"/>
        <w:gridCol w:w="5172"/>
        <w:gridCol w:w="2835"/>
      </w:tblGrid>
      <w:tr w:rsidR="00394EBD" w:rsidRPr="0080103F" w:rsidTr="00DA2EF3">
        <w:trPr>
          <w:trHeight w:val="360"/>
          <w:tblHeader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Цель, результативность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394EBD" w:rsidRPr="0080103F" w:rsidTr="00DA2EF3">
        <w:trPr>
          <w:trHeight w:val="36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Прове</w:t>
            </w:r>
            <w:proofErr w:type="spellEnd"/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рка</w:t>
            </w:r>
            <w:proofErr w:type="spellEnd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домашнего задания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активировать умственную деятельность учеников, развивать критическое мышление, учить оценивать знания учеников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учебно-познавательной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Рецензирование ответов (домашнего задания)</w:t>
            </w:r>
          </w:p>
        </w:tc>
      </w:tr>
      <w:tr w:rsidR="00394EBD" w:rsidRPr="0080103F" w:rsidTr="00DA2EF3">
        <w:trPr>
          <w:trHeight w:val="36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самостоятельность мышления, формировать гибкость и точность мысли, развивать внимание и память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компетенции личного самосовершенствования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Математический диктант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(по страницам домашнего задания с ограничением времени решения)</w:t>
            </w:r>
          </w:p>
        </w:tc>
      </w:tr>
      <w:tr w:rsidR="00394EBD" w:rsidRPr="0080103F" w:rsidTr="00DA2EF3">
        <w:trPr>
          <w:trHeight w:val="36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Объяснение нового </w:t>
            </w:r>
            <w:proofErr w:type="spellStart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материа</w:t>
            </w:r>
            <w:proofErr w:type="spellEnd"/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ла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учить исследовательской работе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общекультурной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Доказательство теорем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и т.п.</w:t>
            </w:r>
          </w:p>
        </w:tc>
      </w:tr>
      <w:tr w:rsidR="00394EBD" w:rsidRPr="0080103F" w:rsidTr="00DA2EF3">
        <w:trPr>
          <w:trHeight w:val="36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учить краткой рациональной записи, отрабатывать умение делать выводы и обобщения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информационной, ценностно-смысловой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Лекция с использованием приобретенной учениками информации</w:t>
            </w:r>
          </w:p>
        </w:tc>
      </w:tr>
      <w:tr w:rsidR="00394EBD" w:rsidRPr="0080103F" w:rsidTr="00DA2EF3">
        <w:trPr>
          <w:trHeight w:val="36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учить оперировать знаниями, развивать гибкость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использования знаний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компетенций учебно-познавательной, личного самосовершенствования, социально-трудовой, коммуникативной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94EBD" w:rsidRPr="0080103F" w:rsidTr="00DA2EF3">
        <w:trPr>
          <w:trHeight w:val="36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Физ</w:t>
            </w:r>
            <w:proofErr w:type="spellEnd"/>
            <w:proofErr w:type="gramEnd"/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культ-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минутка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эмоциональность речи, творческую деятельность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компетенций личного самосовершенствования и общекультурной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Игры</w:t>
            </w:r>
          </w:p>
        </w:tc>
      </w:tr>
      <w:tr w:rsidR="00394EBD" w:rsidRPr="0080103F" w:rsidTr="00DA2EF3">
        <w:trPr>
          <w:trHeight w:val="1941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полученные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умения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учебно-познавательной, ценностно-смысловой компетентности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Учебная самостоятельная работа</w:t>
            </w:r>
          </w:p>
        </w:tc>
      </w:tr>
      <w:tr w:rsidR="00394EBD" w:rsidRPr="0080103F" w:rsidTr="00DA2EF3">
        <w:trPr>
          <w:trHeight w:val="36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знания учеников, формировать умения проверять, слушать, думать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учебно-познавательной, общекультурной и коммуникативной компетенций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Математическая эстафета и др.</w:t>
            </w:r>
          </w:p>
        </w:tc>
      </w:tr>
      <w:tr w:rsidR="00394EBD" w:rsidRPr="0080103F" w:rsidTr="00DA2EF3">
        <w:trPr>
          <w:trHeight w:val="36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личную позицию учеников, опираясь на их знание темы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учебно-познавательной компетенции и компетенции личного самосовершенствования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несколькими способами</w:t>
            </w:r>
          </w:p>
        </w:tc>
      </w:tr>
      <w:tr w:rsidR="00394EBD" w:rsidRPr="0080103F" w:rsidTr="00DA2EF3">
        <w:trPr>
          <w:trHeight w:val="36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обучать работе с информацией; закрепить знание текста, понимание темы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коммуникативной и учебно-познавательной компетенций, развитие информационной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Работа с учебником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(учебная практическая работа)</w:t>
            </w:r>
          </w:p>
        </w:tc>
      </w:tr>
      <w:tr w:rsidR="00394EBD" w:rsidRPr="0080103F" w:rsidTr="00DA2EF3">
        <w:trPr>
          <w:trHeight w:val="110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показать на основе изученного материала умение учеников создавать проекты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общекультурной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Создание проектов</w:t>
            </w:r>
          </w:p>
        </w:tc>
      </w:tr>
      <w:tr w:rsidR="00394EBD" w:rsidRPr="0080103F" w:rsidTr="00DA2EF3">
        <w:trPr>
          <w:trHeight w:val="1106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учить учеников на основе своих знаний находить решения задач прикладного характера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общекультурной</w:t>
            </w:r>
            <w:proofErr w:type="gramEnd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коммуникативной и информационной компетенций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Заседание математического кружка</w:t>
            </w:r>
          </w:p>
        </w:tc>
      </w:tr>
      <w:tr w:rsidR="00394EBD" w:rsidRPr="0080103F" w:rsidTr="00DA2EF3">
        <w:trPr>
          <w:trHeight w:val="110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Кон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троль</w:t>
            </w:r>
            <w:proofErr w:type="spellEnd"/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учить детей воображению и умению абстрагироваться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коммуникативной, учебно-познавательной, информационной компетенций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рекламы (презентации) изучаемой темы (урока), работа в группах </w:t>
            </w:r>
            <w:proofErr w:type="gramStart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взаимной оценкой</w:t>
            </w:r>
          </w:p>
        </w:tc>
      </w:tr>
      <w:tr w:rsidR="00394EBD" w:rsidRPr="0080103F" w:rsidTr="00DA2EF3">
        <w:trPr>
          <w:trHeight w:val="1106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учить детей, опираясь на полученные знания, самостоятельно работать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социально-трудовой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 взаимопроверкой; дифференцированная контрольная работа</w:t>
            </w:r>
          </w:p>
        </w:tc>
      </w:tr>
      <w:tr w:rsidR="00394EBD" w:rsidRPr="0080103F" w:rsidTr="00DA2EF3">
        <w:trPr>
          <w:trHeight w:val="110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Домаш</w:t>
            </w:r>
            <w:proofErr w:type="spellEnd"/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нее задание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проверить усвоение материала урока, формировать умение подбирать примеры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Результативность: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компетенции личного самосовершенствования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вопросы, задачи и примеры по теме урока</w:t>
            </w:r>
          </w:p>
        </w:tc>
      </w:tr>
      <w:tr w:rsidR="00394EBD" w:rsidRPr="0080103F" w:rsidTr="00DA2EF3">
        <w:trPr>
          <w:trHeight w:val="1106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Цель: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проверить знания учеников согласно их уровню подготовки</w:t>
            </w:r>
          </w:p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103F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Результативность: </w:t>
            </w:r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социально-трудовой, ценностно-смысловой компетенций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BD" w:rsidRPr="0080103F" w:rsidRDefault="00394EBD" w:rsidP="00DA2EF3">
            <w:pPr>
              <w:suppressAutoHyphens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>Разноуровневые</w:t>
            </w:r>
            <w:proofErr w:type="spellEnd"/>
            <w:r w:rsidRPr="008010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задачи: репродуктивные, особой сложности, на сообразительность, математическую логику, и т.п.</w:t>
            </w:r>
          </w:p>
        </w:tc>
      </w:tr>
    </w:tbl>
    <w:p w:rsidR="00394EBD" w:rsidRPr="0080103F" w:rsidRDefault="00394EBD" w:rsidP="00394EBD">
      <w:pPr>
        <w:spacing w:after="0"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C331E" w:rsidRDefault="008C331E"/>
    <w:p w:rsidR="008C331E" w:rsidRDefault="008C331E"/>
    <w:sectPr w:rsidR="008C331E" w:rsidSect="006C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31E"/>
    <w:rsid w:val="00394EBD"/>
    <w:rsid w:val="00485D43"/>
    <w:rsid w:val="006C5C17"/>
    <w:rsid w:val="008C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1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31E"/>
  </w:style>
  <w:style w:type="character" w:styleId="a3">
    <w:name w:val="Emphasis"/>
    <w:qFormat/>
    <w:rsid w:val="00394E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1265</Words>
  <Characters>7217</Characters>
  <Application>Microsoft Office Word</Application>
  <DocSecurity>0</DocSecurity>
  <Lines>60</Lines>
  <Paragraphs>16</Paragraphs>
  <ScaleCrop>false</ScaleCrop>
  <Company>Krokoz™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2017-02-21T19:14:00Z</dcterms:created>
  <dcterms:modified xsi:type="dcterms:W3CDTF">2017-02-21T19:17:00Z</dcterms:modified>
</cp:coreProperties>
</file>